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Stenungsund kommunfullmäktige</w:t>
      </w:r>
    </w:p>
    <w:p>
      <w:pPr>
        <w:pStyle w:val="Heading1"/>
      </w:pPr>
      <w:r>
        <w:t xml:space="preserve">Förbättra kvälls- och helgtrafik med Västtrafik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Stenungsund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Västtrafiks statistik visar att linje 330 och 335 har 40 % lägre turtäthet efter kl 19.00. Många industriarbetare och ungdomar saknar fungerande kollektivtrafik kvällar och helger, vilket ökar bilberoendet.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Stenungsund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begära utökad kvälls- och helgtrafik på linje 330 och 335 från Västtrafik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1,8 mnkr årligen i budgeten för utökad trafik.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lokal garanti om max 60 minuters väntetid kvällstid.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på resande och klimatpåverkan efter 12 månader.</w:t>
      </w:r>
    </w:p>
    <w:p>
      <w:pPr>
        <w:spacing w:before="360"/>
      </w:pPr>
    </w:p>
    <w:p>
      <w:r>
        <w:t xml:space="preserve">Stenungsund,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Stenungsund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2026-07-14T01:20:59.644Z</dcterms:created>
  <dcterms:modified xsi:type="dcterms:W3CDTF">2026-07-14T01:20:59.644Z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